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lavika"/>
        <w:tabs>
          <w:tab w:val="left" w:pos="5040" w:leader="none"/>
          <w:tab w:val="right" w:pos="8730" w:leader="none"/>
        </w:tabs>
        <w:spacing w:lineRule="auto" w:line="276"/>
        <w:ind w:left="0" w:right="283" w:hanging="0"/>
        <w:jc w:val="right"/>
        <w:rPr/>
      </w:pPr>
      <w:r>
        <w:rPr/>
      </w:r>
    </w:p>
    <w:p>
      <w:pPr>
        <w:pStyle w:val="Hlavika"/>
        <w:tabs>
          <w:tab w:val="left" w:pos="5040" w:leader="none"/>
          <w:tab w:val="right" w:pos="8730" w:leader="none"/>
        </w:tabs>
        <w:spacing w:lineRule="auto" w:line="276"/>
        <w:ind w:left="0" w:right="283" w:hanging="0"/>
        <w:jc w:val="right"/>
        <w:rPr/>
      </w:pPr>
      <w:r>
        <w:rPr/>
      </w:r>
    </w:p>
    <w:p>
      <w:pPr>
        <w:pStyle w:val="Normal"/>
        <w:spacing w:lineRule="auto" w:line="276"/>
        <w:ind w:left="0" w:right="0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24"/>
        </w:rPr>
        <w:t>Odborný poradensko-psychologický program</w:t>
      </w:r>
      <w:r>
        <w:rPr>
          <w:rFonts w:cs="Times New Roman" w:ascii="Times New Roman" w:hAnsi="Times New Roman"/>
          <w:sz w:val="36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 výkon opatrení sociálno-právnej ochrany v súlade so Zák. č. 305/2005 Z. z. o sociálnoprávnej ochrane detí a o sociálnej kuratele a o zmene a doplnení niektorých zákonov.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Popis odborného poradensko-psychologického programu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4560" w:leader="none"/>
          <w:tab w:val="left" w:pos="8280" w:leader="none"/>
        </w:tabs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Kontaktná adresa a telefónne číslo alebo iný kontaktný údaj centra: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Psychosociálne centrum – mestská príspevková organizácia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Löfflerova č. 2, 040 01 Košice,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 055/678 45 20,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email: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opatreniaspo@pscentrum.s</w:t>
        </w:r>
      </w:hyperlink>
      <w:r>
        <w:rPr>
          <w:rStyle w:val="Internetovodkaz"/>
          <w:rFonts w:cs="Times New Roman" w:ascii="Times New Roman" w:hAnsi="Times New Roman"/>
          <w:sz w:val="24"/>
          <w:szCs w:val="24"/>
        </w:rPr>
        <w:t>k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Adresa miesta vykonávania opatrení alebo miest vykonávania opatrení, ak sa opatrenia    vykonávajú vo viacerých budovách centra:</w:t>
      </w:r>
    </w:p>
    <w:p>
      <w:pPr>
        <w:pStyle w:val="Normal"/>
        <w:numPr>
          <w:ilvl w:val="0"/>
          <w:numId w:val="2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Psychosociálne centrum, Löfflerova č. 2, 040 01 Košice</w:t>
      </w:r>
    </w:p>
    <w:p>
      <w:pPr>
        <w:pStyle w:val="Normal"/>
        <w:numPr>
          <w:ilvl w:val="0"/>
          <w:numId w:val="2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Pobočka Psychosociálneho centra, Južná trieda 27, 040 01 Košice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Personálne zabezpečenie na výkon programu:</w:t>
      </w:r>
    </w:p>
    <w:p>
      <w:pPr>
        <w:pStyle w:val="Normal"/>
        <w:numPr>
          <w:ilvl w:val="0"/>
          <w:numId w:val="10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odborný pracovník PSC – klinický psychológ (interný zamestnanec PSC)</w:t>
      </w:r>
    </w:p>
    <w:p>
      <w:pPr>
        <w:pStyle w:val="Normal"/>
        <w:numPr>
          <w:ilvl w:val="0"/>
          <w:numId w:val="10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odborný pracovník PSC – poradenský psychológ (interný zamestnanec PSC)</w:t>
      </w:r>
    </w:p>
    <w:p>
      <w:pPr>
        <w:pStyle w:val="Normal"/>
        <w:numPr>
          <w:ilvl w:val="0"/>
          <w:numId w:val="10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odborný pracovník PSC – sociálny pracovník (interný zamestnanec PSC)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Hlavné zameranie programu: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je zameraný na pomoc rodine, ktorá sa ocitla v krízovej situácii, nevie riešiť  konflikty alebo sa potrebuje prispôsobiť novej situácii (rozvod / rozchod rodičov). Prostredníctvom individuálnych a dyadických psychoterapeutických intervencií psychológ pomáha jednotlivým účastníkom programu adaptovať sa na zmeny v rodine, minimalizovať deštruktívny dopad krízovej situácie na rodinu, zlepšiť rodičovské zručnosti a rolové kompetencie, vytvára priestor pre ventiláciu emócií a získanie emocionálnej a sociálnej stability.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Cieľom programu</w:t>
      </w:r>
      <w:r>
        <w:rPr>
          <w:rFonts w:cs="Times New Roman" w:ascii="Times New Roman" w:hAnsi="Times New Roman"/>
          <w:sz w:val="24"/>
          <w:szCs w:val="24"/>
        </w:rPr>
        <w:t xml:space="preserve"> je adaptácia rodičov a detí na zmeny zapríčinené krízovou situáciou – rozvodom/rozchodom, nakoľko ide o jeden z najvýraznejších životných stresorov, ďalej prekonanie bariér vo vzájomnej komunikácii medzi rodičmi navzájom, ale aj medzi rodičom a dieťaťom, zlepšenie vnímavosti voči potrebám ostatných členov rodiny, obmedzenie prežívania negatívnych emócií spojených s traumatizujúcou situáciou a pod. Vďaka individuálnemu prístupu psychológa ku klientom je možné minimalizovať deštruktívne správanie sa voči sebe navzájom a poskytnúť bezpečný priestor pre spracovanie traumy a následne zlepšiť prežívanie celej rodiny.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Intervencie psychológa môžu prebiehať v troch formách: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Individuálne vo vzťahu k rodičovi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82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Individuálne vo vzťahu k dieťaťu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82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Dyadicky vo vzťahu rodič – dieťa</w:t>
      </w:r>
    </w:p>
    <w:p>
      <w:pPr>
        <w:pStyle w:val="Normal"/>
        <w:tabs>
          <w:tab w:val="left" w:pos="709" w:leader="none"/>
          <w:tab w:val="left" w:pos="82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je aktívnym preventívnym prvkom pri sanácii rodiny a participujúcim prvkom pri realizácii opatrení sociálno-právnej ochrany detí a sociálnej kurately na podporu: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základných rodičovských zručností (komunikácia, upevňovanie vzťahov a i.),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adaptácie na zmeny po rozvode / rozchode,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plnenia rodičovských práv a povinností,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edukácie o potrebách dieťaťa a ich napĺňania,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dodržiavania práv dieťaťa,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plnenia základných funkcií rodiny,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predchádzania sociálno-patologických javov u dospelých a detí,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úpravy rodinných pomerov rodičov maloletých detí a i.</w:t>
      </w:r>
    </w:p>
    <w:p>
      <w:pPr>
        <w:pStyle w:val="Normal"/>
        <w:tabs>
          <w:tab w:val="left" w:pos="709" w:leader="none"/>
          <w:tab w:val="left" w:pos="82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Trvanie programu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rámci Psychologického výchovného programu ponúkame 2 varianty, podľa závažnosti problému a miery spolupráce rodičov: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 mesačný program</w:t>
      </w:r>
      <w:r>
        <w:rPr>
          <w:rFonts w:cs="Times New Roman" w:ascii="Times New Roman" w:hAnsi="Times New Roman"/>
          <w:sz w:val="24"/>
          <w:szCs w:val="24"/>
        </w:rPr>
        <w:t xml:space="preserve"> – individuálne stretnutia každého z rodičov a/alebo detí 2x za mesiac v trvaní 50 minút v termínoch podľa dohody v rámci pracovného času prideleného psychológa Psychosociálneho centra. Celkom 6 stretnutí s každým z účastníkov,</w:t>
      </w:r>
    </w:p>
    <w:p>
      <w:pPr>
        <w:pStyle w:val="Normal"/>
        <w:tabs>
          <w:tab w:val="left" w:pos="709" w:leader="none"/>
          <w:tab w:val="left" w:pos="82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 vhodný pre rodiny, v ktorých je viditeľná vyššia miera spolupráce, snaha o komunikáciu a zlepšenie aktuálneho stavu.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 mesačný program</w:t>
      </w:r>
      <w:r>
        <w:rPr>
          <w:rFonts w:cs="Times New Roman" w:ascii="Times New Roman" w:hAnsi="Times New Roman"/>
          <w:sz w:val="24"/>
          <w:szCs w:val="24"/>
        </w:rPr>
        <w:t xml:space="preserve"> - individuálne stretnutia každého z rodičov a/alebo detí 2x za mesiac v trvaní 50 minút v termínoch podľa dohody v rámci pracovného času prideleného psychológa Psychosociálneho centra. Celkom 12 stretnutí s každým z rodičov a/alebo detí,</w:t>
      </w:r>
    </w:p>
    <w:p>
      <w:pPr>
        <w:pStyle w:val="Normal"/>
        <w:tabs>
          <w:tab w:val="left" w:pos="709" w:leader="none"/>
          <w:tab w:val="left" w:pos="82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 vhodný pre rodiny, v ktorých sa jednotliví členovia správajú voči sebe deštruktívne, je viditeľná len nízka miera ochoty k spolupráci, existujú značné problémy v komunikácii medzi rodičmi navzájom a/alebo rodičom a dieťaťom.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Cieľová skupina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Rodiny, ktoré sa ocitli v krízovej životnej situácii (rozvod, rozchod rodičov), pričom členovia rodiny nie sú schopní sami riešiť vzniknuté problémy a adaptovať sa na zmenu v rodinnom prostredí. Majú problém navzájom zmysluplne komunikovať, nemajú spracované traumy spojené s rozvodom/rozchodom, ale sú ochotní pracovať na zmene aktuálneho stavu.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Rodiny sú odporúčané príslušným ÚPSVaR, prípadne sú odoslané príslušným súdom na základe platného uznesenia.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Metódy využívané v praxi: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sprevádzanie manželov/rodičov v procese rozvodu a po rozvode pri adaptácii na zmeny,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psychoterapia pri formovaní emocionálnej a sociálnej zrelosti osobnosti s aplikovaním dynamických, analytických a kognitívno-behaviorálnych terapeutických prístupov,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tréning rodičovských zručností a rolových kompetencií,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výcvik asertívneho sebapresadzovania sa v partnerskom vzťahu,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psychodiagnostika osobnosti pre terapeutické účely,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edukácia o psychologických faktoroch, ktoré podmieňujú rodičovské vzory,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edukácia o potrebách dieťaťa a podpora pri ich napĺňaní,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ventilovanie negatívnych emócií, práca s pocitmi krivdy, obviňovaním druhého, potrebou odplaty,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ventilovanie traumatizovaných emócií,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filiálna terapia, sandplay, práca s terapeutickými kartami,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facilitácia komunikácie medzi rodičom a dieťaťom.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Predpokladom efektívneho zvládnutia terapeutického procesu a zvyšovania rodičovských kompetencií je skutočná pozitívna motivácia rodičov k zmene, ich ochota spolupracovať v primeranej miere pre optimálny psychický vývin dieťaťa.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Kritériom pre realizáciu programu je písomný súhlas oboch rodičov s programom a podmienkami realizácie. Odmietnutie spolupráce má za následok ukončenie programu, ktoré sa realizuje písomným úradným záznamom a podpisom zúčastnených strán (aspoň 1 z účastníkov). Následne bude písomnou formou oboznámený súd, resp. úrad práce, sociálnych vecí a rodiny.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skončení programu vypracuje psychológ záverečnú správu určenú pre súd, resp. úrad práce, sociálnych vecí a rodiny, s vyhodnotením miery a kvality spolupráce účastníkov programu.</w:t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Finančná účasť </w:t>
      </w:r>
      <w:r>
        <w:rPr>
          <w:rFonts w:cs="Times New Roman" w:ascii="Times New Roman" w:hAnsi="Times New Roman"/>
          <w:sz w:val="24"/>
          <w:szCs w:val="24"/>
        </w:rPr>
        <w:t>klientov na terapeutickom procese:</w:t>
      </w:r>
    </w:p>
    <w:p>
      <w:pPr>
        <w:pStyle w:val="Normal"/>
        <w:numPr>
          <w:ilvl w:val="0"/>
          <w:numId w:val="7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úhrada prostredníctvom zdravotnej poisťovne (podľa platnej Medzinárodnej klasifikácie chorôb, povinná pre deti),</w:t>
      </w:r>
    </w:p>
    <w:p>
      <w:pPr>
        <w:pStyle w:val="Normal"/>
        <w:numPr>
          <w:ilvl w:val="0"/>
          <w:numId w:val="7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samoplatca (podľa cenníka služieb Psychosociálneho centra: 20€ / terapeutické stretnutie),</w:t>
      </w:r>
    </w:p>
    <w:p>
      <w:pPr>
        <w:pStyle w:val="Normal"/>
        <w:numPr>
          <w:ilvl w:val="0"/>
          <w:numId w:val="9"/>
        </w:numPr>
        <w:tabs>
          <w:tab w:val="left" w:pos="709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stretnutie zamerané na anamnézu prípadu, oboznámenie so situáciou a naplánovaním stretnutí je bezplatné.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Asistované stretnutia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prípade problémov súvisiacich s rozvodom/rozchodom rodičov a rozpadom rodiny, kedy je potrebné upraviť styk rodiča s dieťaťom pod odborným dohľadom, je možné rozšíriť program o asistované stretnutia.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Frekvencia stretnutí je spravidla 2x mesačne v trvaní 60 minút za prítomnosti odborného pracovníka Psychosociálneho centra, v čase podľa pracovného času centra.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Rodičom a deťom je poskytnutá psychologická pomoc a podpora pri stretnutiach, dohľad nad priebehom stretnutí, konzultácie a usmernenia pri stretnutiach.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Dĺžka trvania</w:t>
      </w:r>
      <w:r>
        <w:rPr>
          <w:rFonts w:cs="Times New Roman" w:ascii="Times New Roman" w:hAnsi="Times New Roman"/>
          <w:sz w:val="24"/>
          <w:szCs w:val="24"/>
        </w:rPr>
        <w:t xml:space="preserve"> asistovaných stretnutí je maximálne 6 mesiacov.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Asistované stretnutia sú spoplatnené podľa platného cenníka Psychosociálneho centra: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€/hod.</w:t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560" w:leader="none"/>
          <w:tab w:val="left" w:pos="828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Odborný poradensko-psychologický program v intenciách sociálno-právnej ochrany detí </w:t>
      </w:r>
      <w:r>
        <w:rPr>
          <w:rFonts w:cs="Times New Roman" w:ascii="Times New Roman" w:hAnsi="Times New Roman"/>
          <w:b/>
          <w:bCs/>
          <w:sz w:val="24"/>
          <w:szCs w:val="24"/>
        </w:rPr>
        <w:t>neponúka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manželské a párové poradenstvo,</w:t>
      </w:r>
    </w:p>
    <w:p>
      <w:pPr>
        <w:pStyle w:val="Normal"/>
        <w:numPr>
          <w:ilvl w:val="0"/>
          <w:numId w:val="8"/>
        </w:numPr>
        <w:tabs>
          <w:tab w:val="left" w:pos="4560" w:leader="none"/>
          <w:tab w:val="left" w:pos="82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mediáciu párov v krízovom období.</w:t>
      </w:r>
    </w:p>
    <w:sectPr>
      <w:headerReference w:type="default" r:id="rId3"/>
      <w:footerReference w:type="default" r:id="rId4"/>
      <w:type w:val="nextPage"/>
      <w:pgSz w:w="11906" w:h="17065"/>
      <w:pgMar w:left="1417" w:right="1417" w:header="825" w:top="2469" w:footer="370" w:bottom="998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Telefón                                         E-mail                                                     Internet                                           IČO</w:t>
    </w:r>
  </w:p>
  <w:p>
    <w:pPr>
      <w:pStyle w:val="Pta"/>
      <w:rPr/>
    </w:pPr>
    <w:r>
      <w:rPr/>
      <w:t xml:space="preserve">+421-55 67 19 359                       </w:t>
    </w:r>
    <w:hyperlink r:id="rId1">
      <w:r>
        <w:rPr>
          <w:rStyle w:val="Internetovodkaz"/>
        </w:rPr>
        <w:t>opatreniaspo@pscentrum.sk</w:t>
      </w:r>
    </w:hyperlink>
    <w:r>
      <w:rPr/>
      <w:t xml:space="preserve">                 </w:t>
    </w:r>
    <w:hyperlink r:id="rId2">
      <w:r>
        <w:rPr>
          <w:rStyle w:val="Internetovodkaz"/>
        </w:rPr>
        <w:t>www.pscentrum.sk</w:t>
      </w:r>
    </w:hyperlink>
    <w:r>
      <w:rPr/>
      <w:t xml:space="preserve">                         31996361 </w:t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left" w:pos="1290" w:leader="none"/>
      </w:tabs>
      <w:rPr>
        <w:rFonts w:eastAsia="Arial"/>
        <w:b w:val="false"/>
        <w:b w:val="false"/>
        <w:sz w:val="32"/>
        <w:szCs w:val="32"/>
      </w:rPr>
    </w:pPr>
    <w:r>
      <w:rPr/>
      <w:drawing>
        <wp:inline distT="0" distB="0" distL="0" distR="0">
          <wp:extent cx="704850" cy="711200"/>
          <wp:effectExtent l="0" t="0" r="0" b="0"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6" t="-251" r="-256" b="-25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            </w:t>
    </w:r>
    <w:r>
      <w:rPr>
        <w:rFonts w:cs="Arial" w:ascii="Arial" w:hAnsi="Arial"/>
        <w:b/>
        <w:sz w:val="32"/>
        <w:szCs w:val="32"/>
      </w:rPr>
      <w:t>PSYCHOSOCIÁLNE  CENTRUM</w:t>
      <w:tab/>
      <w:t xml:space="preserve">        </w:t>
    </w:r>
    <w:r>
      <w:rPr/>
      <w:object>
        <v:shape id="ole_rId2" style="width:43.65pt;height:52.5pt" o:ole="">
          <v:imagedata r:id="rId3" o:title=""/>
        </v:shape>
        <o:OLEObject Type="Embed" ProgID="" ShapeID="ole_rId2" DrawAspect="Content" ObjectID="_64638309" r:id="rId2"/>
      </w:object>
    </w:r>
  </w:p>
  <w:p>
    <w:pPr>
      <w:pStyle w:val="Nadpis1"/>
      <w:numPr>
        <w:ilvl w:val="0"/>
        <w:numId w:val="1"/>
      </w:numPr>
      <w:ind w:left="851" w:right="0" w:hanging="0"/>
      <w:jc w:val="left"/>
      <w:rPr/>
    </w:pPr>
    <w:r>
      <w:rPr>
        <w:rFonts w:eastAsia="Arial"/>
        <w:b w:val="false"/>
        <w:sz w:val="32"/>
        <w:szCs w:val="32"/>
      </w:rPr>
      <w:t xml:space="preserve">                </w:t>
    </w:r>
    <w:r>
      <w:rPr>
        <w:rFonts w:eastAsia="Arial"/>
      </w:rPr>
      <w:t xml:space="preserve">           </w:t>
    </w:r>
    <w:r>
      <w:rPr>
        <w:sz w:val="24"/>
        <w:szCs w:val="24"/>
      </w:rPr>
      <w:t>Löfflerova 2, 040 01 Košice</w:t>
    </w:r>
  </w:p>
  <w:p>
    <w:pPr>
      <w:pStyle w:val="Normal"/>
      <w:pBdr>
        <w:bottom w:val="single" w:sz="8" w:space="1" w:color="000001"/>
      </w:pBdr>
      <w:rPr>
        <w:b/>
        <w:b/>
        <w:sz w:val="32"/>
        <w:szCs w:val="32"/>
      </w:rPr>
    </w:pPr>
    <w:r>
      <w:rPr>
        <w:b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i w:val="false"/>
        <w:b/>
        <w:szCs w:val="24"/>
        <w:iCs w:val="false"/>
        <w:bCs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5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 Narrow" w:hAnsi="Arial Narrow" w:eastAsia="Times New Roman" w:cs="Arial Narrow"/>
      <w:color w:val="000000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overflowPunct w:val="true"/>
      <w:ind w:left="851" w:right="0" w:hanging="0"/>
      <w:jc w:val="center"/>
      <w:textAlignment w:val="baseline"/>
      <w:outlineLvl w:val="0"/>
      <w:outlineLvl w:val="0"/>
    </w:pPr>
    <w:rPr>
      <w:rFonts w:ascii="Arial" w:hAnsi="Arial" w:cs="Arial"/>
      <w:b/>
      <w:color w:val="000000"/>
      <w:sz w:val="22"/>
      <w:lang w:val="cs-CZ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OpenSymbol;Arial Unicode MS" w:hAnsi="OpenSymbol;Arial Unicode MS" w:cs="OpenSymbol;Arial Unicode M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1z3">
    <w:name w:val="WW8Num11z3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7z0">
    <w:name w:val="WW8Num17z0"/>
    <w:qFormat/>
    <w:rPr>
      <w:rFonts w:ascii="Symbol" w:hAnsi="Symbol" w:cs="OpenSymbol;Arial Unicode MS"/>
    </w:rPr>
  </w:style>
  <w:style w:type="character" w:styleId="WW8Num17z1">
    <w:name w:val="WW8Num17z1"/>
    <w:qFormat/>
    <w:rPr>
      <w:rFonts w:ascii="OpenSymbol;Arial Unicode MS" w:hAnsi="OpenSymbol;Arial Unicode MS" w:cs="OpenSymbol;Arial Unicode MS"/>
    </w:rPr>
  </w:style>
  <w:style w:type="character" w:styleId="Predvolenpsmoodseku">
    <w:name w:val="Predvolené písmo odseku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Predvolenpsmoodseku4">
    <w:name w:val="Predvolené písmo odseku4"/>
    <w:qFormat/>
    <w:rPr/>
  </w:style>
  <w:style w:type="character" w:styleId="Predvolenpsmoodseku3">
    <w:name w:val="Predvolené písmo odseku3"/>
    <w:qFormat/>
    <w:rPr/>
  </w:style>
  <w:style w:type="character" w:styleId="Predvolenpsmoodseku2">
    <w:name w:val="Predvolené písmo odseku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Predvolenpsmoodseku1">
    <w:name w:val="Predvolené písmo odseku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HeaderChar">
    <w:name w:val="Header Char"/>
    <w:qFormat/>
    <w:rPr>
      <w:rFonts w:eastAsia="Calibri"/>
      <w:lang w:val="sk-SK" w:bidi="ar-SA"/>
    </w:rPr>
  </w:style>
  <w:style w:type="character" w:styleId="Symbolypreslovanie">
    <w:name w:val="Symboly pre číslovanie"/>
    <w:qFormat/>
    <w:rPr/>
  </w:style>
  <w:style w:type="character" w:styleId="TextbublinyChar">
    <w:name w:val="Text bubliny Char"/>
    <w:qFormat/>
    <w:rPr>
      <w:rFonts w:ascii="Segoe UI" w:hAnsi="Segoe UI" w:eastAsia="Times New Roman" w:cs="Segoe UI"/>
      <w:color w:val="000000"/>
      <w:sz w:val="18"/>
      <w:szCs w:val="18"/>
      <w:lang w:eastAsia="zh-CN"/>
    </w:rPr>
  </w:style>
  <w:style w:type="character" w:styleId="HlavikaChar">
    <w:name w:val="Hlavička Char"/>
    <w:qFormat/>
    <w:rPr>
      <w:rFonts w:eastAsia="Calibri"/>
      <w:color w:val="000000"/>
      <w:lang w:eastAsia="zh-CN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3">
    <w:name w:val="ListLabel 13"/>
    <w:qFormat/>
    <w:rPr>
      <w:rFonts w:eastAsia="Symbol"/>
      <w:b/>
    </w:rPr>
  </w:style>
  <w:style w:type="character" w:styleId="ListLabel12">
    <w:name w:val="ListLabel 12"/>
    <w:qFormat/>
    <w:rPr>
      <w:rFonts w:eastAsia="Symbol"/>
      <w:b/>
    </w:rPr>
  </w:style>
  <w:style w:type="character" w:styleId="ListLabel11">
    <w:name w:val="ListLabel 11"/>
    <w:qFormat/>
    <w:rPr>
      <w:rFonts w:eastAsia="Symbol"/>
      <w:b/>
    </w:rPr>
  </w:style>
  <w:style w:type="character" w:styleId="ListLabel10">
    <w:name w:val="ListLabel 10"/>
    <w:qFormat/>
    <w:rPr>
      <w:rFonts w:eastAsia="Symbol"/>
      <w:b/>
    </w:rPr>
  </w:style>
  <w:style w:type="character" w:styleId="ListLabel9">
    <w:name w:val="ListLabel 9"/>
    <w:qFormat/>
    <w:rPr>
      <w:rFonts w:eastAsia="Symbol"/>
      <w:b/>
    </w:rPr>
  </w:style>
  <w:style w:type="character" w:styleId="ListLabel8">
    <w:name w:val="ListLabel 8"/>
    <w:qFormat/>
    <w:rPr>
      <w:rFonts w:eastAsia="Symbol"/>
      <w:b/>
    </w:rPr>
  </w:style>
  <w:style w:type="character" w:styleId="ListLabel7">
    <w:name w:val="ListLabel 7"/>
    <w:qFormat/>
    <w:rPr>
      <w:rFonts w:eastAsia="Symbol"/>
      <w:b/>
    </w:rPr>
  </w:style>
  <w:style w:type="character" w:styleId="ListLabel6">
    <w:name w:val="ListLabel 6"/>
    <w:qFormat/>
    <w:rPr>
      <w:rFonts w:eastAsia="Symbol"/>
      <w:b/>
    </w:rPr>
  </w:style>
  <w:style w:type="character" w:styleId="ListLabel5">
    <w:name w:val="ListLabel 5"/>
    <w:qFormat/>
    <w:rPr>
      <w:rFonts w:eastAsia="Symbol"/>
      <w:b/>
    </w:rPr>
  </w:style>
  <w:style w:type="character" w:styleId="ListLabel4">
    <w:name w:val="ListLabel 4"/>
    <w:qFormat/>
    <w:rPr>
      <w:rFonts w:eastAsia="Symbol"/>
      <w:b/>
    </w:rPr>
  </w:style>
  <w:style w:type="character" w:styleId="ListLabel3">
    <w:name w:val="ListLabel 3"/>
    <w:qFormat/>
    <w:rPr>
      <w:rFonts w:eastAsia="Symbol"/>
      <w:b/>
    </w:rPr>
  </w:style>
  <w:style w:type="character" w:styleId="ListLabel2">
    <w:name w:val="ListLabel 2"/>
    <w:qFormat/>
    <w:rPr>
      <w:rFonts w:eastAsia="Symbol"/>
      <w:b/>
    </w:rPr>
  </w:style>
  <w:style w:type="character" w:styleId="ListLabel1">
    <w:name w:val="ListLabel 1"/>
    <w:qFormat/>
    <w:rPr>
      <w:rFonts w:eastAsia="Symbol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;Arial" w:hAnsi="Liberation Sans;Arial" w:eastAsia="Microsoft YaHei" w:cs="Mangal;Gentium Basic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;Gentium Basic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Gentium Basic"/>
    </w:rPr>
  </w:style>
  <w:style w:type="paragraph" w:styleId="Hlavika">
    <w:name w:val="Header"/>
    <w:basedOn w:val="Normal"/>
    <w:pPr>
      <w:suppressAutoHyphens w:val="false"/>
    </w:pPr>
    <w:rPr>
      <w:rFonts w:ascii="Times New Roman" w:hAnsi="Times New Roman" w:eastAsia="Calibri" w:cs="Times New Roman"/>
      <w:color w:val="000000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Pt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adpistabulky">
    <w:name w:val="Nadpis tabulky"/>
    <w:qFormat/>
    <w:pPr>
      <w:widowControl/>
      <w:suppressAutoHyphens w:val="true"/>
      <w:bidi w:val="0"/>
      <w:jc w:val="center"/>
    </w:pPr>
    <w:rPr>
      <w:rFonts w:ascii="Times New Roman" w:hAnsi="Times New Roman" w:eastAsia="Times New Roman" w:cs="Arial"/>
      <w:b/>
      <w:color w:val="00000A"/>
      <w:sz w:val="24"/>
      <w:szCs w:val="24"/>
      <w:lang w:val="sk-SK" w:eastAsia="ar-SA" w:bidi="hi-IN"/>
    </w:rPr>
  </w:style>
  <w:style w:type="paragraph" w:styleId="Obsahtabulky">
    <w:name w:val="Obsah tabulky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lang w:val="sk-SK" w:eastAsia="ar-SA"/>
    </w:rPr>
  </w:style>
  <w:style w:type="paragraph" w:styleId="Rejstk">
    <w:name w:val="Rejstřík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Mangal" w:cs="Times New Roman"/>
      <w:color w:val="00000A"/>
      <w:sz w:val="24"/>
      <w:lang w:val="sk-SK" w:eastAsia="ar-SA"/>
    </w:rPr>
  </w:style>
  <w:style w:type="paragraph" w:styleId="Popisek">
    <w:name w:val="Popisek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Mangal" w:cs="Times New Roman"/>
      <w:i/>
      <w:color w:val="00000A"/>
      <w:sz w:val="24"/>
      <w:lang w:val="sk-SK"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atreniaspo@pscentrum.s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patreniaspo@pscentrum.sk" TargetMode="External"/><Relationship Id="rId2" Type="http://schemas.openxmlformats.org/officeDocument/2006/relationships/hyperlink" Target="http://www.pscentrum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LibreOffice/5.2.5.1$Windows_x86 LibreOffice_project/0312e1a284a7d50ca85a365c316c7abbf20a4d22</Application>
  <Pages>5</Pages>
  <Words>970</Words>
  <Characters>6367</Characters>
  <CharactersWithSpaces>7494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2019-10-03T13:46:00Z</dcterms:created>
  <dc:creator>PSC</dc:creator>
  <dc:description/>
  <dc:language>sk-SK</dc:language>
  <cp:lastModifiedBy/>
  <cp:lastPrinted>2019-10-08T09:21:00Z</cp:lastPrinted>
  <dcterms:modified xsi:type="dcterms:W3CDTF">2020-02-17T11:19:11Z</dcterms:modified>
  <cp:revision>9</cp:revision>
  <dc:subject/>
  <dc:title/>
</cp:coreProperties>
</file>